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10.11.2023 N 552-п</w:t>
              <w:br/>
              <w:t xml:space="preserve">"О государственной программе Ханты-Мансийского автономного округа - Югры "Поддержка занятости населения"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ноября 2023 г. N 552-п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"ПОДДЕРЖКА ЗАНЯТОСТИ НАСЕЛЕНИЯ"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ХМАО - Югры от 05.08.2021 N 289-п (ред. от 18.08.2023)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труда и занятости населения Ханты-Мансийского автономного округа - Югры (протокол заседания от 6 октября 2023 года N 29),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3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Ханты-Мансийского автономного округа - Югры "Поддержка занятости населения"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Департамент труда и занятости населения Ханты-Мансийского автономного округа - Югры ответственным исполнителем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Правительства Ханты-Мансийского автономного округа - Югры: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октября 2021 года </w:t>
      </w:r>
      <w:hyperlink w:history="0" r:id="rId9" w:tooltip="Постановление Правительства ХМАО - Югры от 31.10.2021 N 472-п (ред. от 22.12.2023)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472-п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"Поддержка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марта 2022 года </w:t>
      </w:r>
      <w:hyperlink w:history="0" r:id="rId10" w:tooltip="Постановление Правительства ХМАО - Югры от 25.03.2022 N 9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98-п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31 октября 2021 года N 472-п "О государственной программе Ханты-Мансийского автономного округа - Югры "Поддержка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июня 2022 года </w:t>
      </w:r>
      <w:hyperlink w:history="0" r:id="rId11" w:tooltip="Постановление Правительства ХМАО - Югры от 10.06.2022 N 256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256-п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31 октября 2021 года N 472-п "О государственной программе Ханты-Мансийского автономного округа - Югры "Поддержка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сентября 2022 года </w:t>
      </w:r>
      <w:hyperlink w:history="0" r:id="rId12" w:tooltip="Постановление Правительства ХМАО - Югры от 29.09.2022 N 475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475-п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31 октября 2021 года N 472-п "О государственной программе Ханты-Мансийского автономного округа - Югры "Поддержка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октября 2022 года </w:t>
      </w:r>
      <w:hyperlink w:history="0" r:id="rId13" w:tooltip="Постановление Правительства ХМАО - Югры от 16.10.2022 N 528-п (ред. от 03.11.2022)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528-п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31 октября 2021 года N 472-п "О государственной программе Ханты-Мансийского автономного округа - Югры "Поддержка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ноября 2022 года </w:t>
      </w:r>
      <w:hyperlink w:history="0" r:id="rId14" w:tooltip="Постановление Правительства ХМАО - Югры от 03.11.2022 N 578-п &quot;О внесении изменения в постановление Правительства Ханты-Мансийского автономного округа - Югры от 16 октября 2022 года N 528-п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578-п</w:t>
        </w:r>
      </w:hyperlink>
      <w:r>
        <w:rPr>
          <w:sz w:val="20"/>
        </w:rPr>
        <w:t xml:space="preserve"> "О внесении изменения в постановление Правительства Ханты-Мансийского автономного округа - Югры от 16 октября 2022 года N 528-п "О внесении изменений в постановление Правительства Ханты-Мансийского автономного округа - Югры от 31 октября 2021 года N 472-п "О государственной программе Ханты-Мансийского автономного округа - Югры "Поддержка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декабря 2022 года </w:t>
      </w:r>
      <w:hyperlink w:history="0" r:id="rId15" w:tooltip="Постановление Правительства ХМАО - Югры от 29.12.2022 N 735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735-п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31 октября 2021 года N 472-п "О государственной программе Ханты-Мансийского автономного округа - Югры "Поддержка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февраля 2023 года </w:t>
      </w:r>
      <w:hyperlink w:history="0" r:id="rId16" w:tooltip="Постановление Правительства ХМАО - Югры от 03.02.2023 N 38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38-п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31 октября 2021 года N 472-п "О государственной программе Ханты-Мансийского автономного округа - Югры "Поддержка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марта 2023 года </w:t>
      </w:r>
      <w:hyperlink w:history="0" r:id="rId17" w:tooltip="Постановление Правительства ХМАО - Югры от 31.03.2023 N 117-п &quot;О внесении изменения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117-п</w:t>
        </w:r>
      </w:hyperlink>
      <w:r>
        <w:rPr>
          <w:sz w:val="20"/>
        </w:rPr>
        <w:t xml:space="preserve"> "О внесении изменения в приложение 1 к постановлению Правительства Ханты-Мансийского автономного округа - Югры от 31 октября 2021 года N 472-п "О государственной программе Ханты-Мансийского автономного округа - Югры "Поддержка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апреля 2023 года </w:t>
      </w:r>
      <w:hyperlink w:history="0" r:id="rId18" w:tooltip="Постановление Правительства ХМАО - Югры от 14.04.2023 N 154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154-п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31 октября 2021 года N 472-п "О государственной программе Ханты-Мансийского автономного округа - Югры "Поддержка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мая 2023 года </w:t>
      </w:r>
      <w:hyperlink w:history="0" r:id="rId19" w:tooltip="Постановление Правительства ХМАО - Югры от 12.05.2023 N 207-п &quot;О внесении изменений в постановление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207-п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31 октября 2021 года N 472-п "О государственной программе Ханты-Мансийского автономного округа - Югры "Поддержка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 июля 2023 года </w:t>
      </w:r>
      <w:hyperlink w:history="0" r:id="rId20" w:tooltip="Постановление Правительства ХМАО - Югры от 07.07.2023 N 312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312-п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31 октября 2021 года N 472-п "О государственной программе Ханты-Мансийского автономного округа - Югры "Поддержка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 сентября 2023 года </w:t>
      </w:r>
      <w:hyperlink w:history="0" r:id="rId21" w:tooltip="Постановление Правительства ХМАО - Югры от 08.09.2023 N 441-п &quot;О внесении изменений в приложение 1 к постановлению Правительства Ханты-Мансийского автономного округа - Югры от 31 октября 2021 года N 472-п &quot;О государственной программе Ханты-Мансийского автономного округа - Югры &quot;Поддержка занятости населения&quot; ------------ Утратил силу или отменен {КонсультантПлюс}">
        <w:r>
          <w:rPr>
            <w:sz w:val="20"/>
            <w:color w:val="0000ff"/>
          </w:rPr>
          <w:t xml:space="preserve">N 441-п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31 октября 2021 года N 472-п "О государственной программе Ханты-Мансийского автономного округа - Югры "Поддержка занятости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10 ноября 2023 года N 552-п</w:t>
      </w:r>
    </w:p>
    <w:p>
      <w:pPr>
        <w:pStyle w:val="0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"ПОДДЕРЖКА</w:t>
      </w:r>
    </w:p>
    <w:p>
      <w:pPr>
        <w:pStyle w:val="2"/>
        <w:jc w:val="center"/>
      </w:pPr>
      <w:r>
        <w:rPr>
          <w:sz w:val="20"/>
        </w:rPr>
        <w:t xml:space="preserve">ЗАНЯТОСТИ НАСЕЛЕНИЯ" (ДАЛЕЕ - ГОСУДАРСТВЕННАЯ ПРОГРАММА)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236"/>
      </w:tblGrid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Забозлаев Алексей Геннадиевич - первый заместитель Губернатора Ханты-Мансийского автономного округа - Югры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Ханты-Мансийского автономного округа - Югры (далее - автономный округ, Дептруда и занятости Югры)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государственных гарантий гражданам в области содействия занятости населения и защиты от безработицы.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Снижение уровней производственного травматизма и профессиональной заболеваемости.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Государственная программа Российской Федерации по переселению соотечественников)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 государственной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hyperlink w:history="0" w:anchor="P195" w:tooltip="1. Направление (подпрограмма) &quot;Содействие трудоустройству граждан и социальная поддержка безработных граждан&quot;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 "Содействие трудоустройству граждан и социальная поддержка безработных граждан".</w:t>
            </w:r>
          </w:p>
          <w:p>
            <w:pPr>
              <w:pStyle w:val="0"/>
            </w:pPr>
            <w:hyperlink w:history="0" w:anchor="P277" w:tooltip="2. Направление (подпрограмма) &quot;Улучшение условий и охраны труда в автономном округе&quot;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 "Улучшение условий и охраны труда в автономном округе".</w:t>
            </w:r>
          </w:p>
          <w:p>
            <w:pPr>
              <w:pStyle w:val="0"/>
            </w:pPr>
            <w:hyperlink w:history="0" w:anchor="P287" w:tooltip="3. Направление (подпрограмма) &quot;Оказание содействия добровольному переселению соотечественников, проживающих за рубежом, в автономный округ на 2020 - 2025 годы&quot;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. "Оказание содействия добровольному переселению соотечественников, проживающих за рубежом, в автономный округ на 2020 - 2025 годы"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весь период реализации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16 816 567,5 тыс. рублей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1. Сохранение населения, здоровье и благополучие людей:</w:t>
            </w:r>
          </w:p>
          <w:p>
            <w:pPr>
              <w:pStyle w:val="0"/>
            </w:pPr>
            <w:r>
              <w:rPr>
                <w:sz w:val="20"/>
              </w:rPr>
              <w:t xml:space="preserve">1.1. Показатель "Обеспечение устойчивого роста численности населения Российской Федерации".</w:t>
            </w:r>
          </w:p>
          <w:p>
            <w:pPr>
              <w:pStyle w:val="0"/>
            </w:pPr>
            <w:r>
              <w:rPr>
                <w:sz w:val="20"/>
              </w:rPr>
              <w:t xml:space="preserve">1.2. Показатель "Снижение уровня бедности в два раза по сравнению с показателем 2017 года".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Достойный, эффективный труд и успешное предпринимательство: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2.1. Показатель "Увеличение численности занятых в сфере малого и среднего предпринимательства, включая индивидуальных предпринимателей и самозанятых, до 25 млн человек".</w:t>
            </w:r>
          </w:p>
          <w:p>
            <w:pPr>
              <w:pStyle w:val="0"/>
            </w:pPr>
            <w:r>
              <w:rPr>
                <w:sz w:val="20"/>
              </w:rPr>
              <w:t xml:space="preserve">3. Государственная программа Российской Федерации "Содействие занятости населения".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4. Государственная программа Российской Федерации по переселению соотечественников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2239"/>
        <w:gridCol w:w="1219"/>
        <w:gridCol w:w="1204"/>
        <w:gridCol w:w="1054"/>
        <w:gridCol w:w="604"/>
        <w:gridCol w:w="604"/>
        <w:gridCol w:w="604"/>
        <w:gridCol w:w="604"/>
        <w:gridCol w:w="604"/>
        <w:gridCol w:w="604"/>
        <w:gridCol w:w="604"/>
        <w:gridCol w:w="604"/>
        <w:gridCol w:w="2929"/>
        <w:gridCol w:w="1744"/>
        <w:gridCol w:w="2449"/>
      </w:tblGrid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29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7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24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9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gridSpan w:val="16"/>
            <w:tcW w:w="18154" w:type="dxa"/>
          </w:tcPr>
          <w:p>
            <w:pPr>
              <w:pStyle w:val="0"/>
            </w:pPr>
            <w:r>
              <w:rPr>
                <w:sz w:val="20"/>
              </w:rPr>
              <w:t xml:space="preserve">Цель 1: "Обеспечение государственных гарантий гражданам в области содействия занятости населения и защиты от безработицы"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(на конец года)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</w:t>
            </w:r>
            <w:hyperlink w:history="0" w:anchor="P182" w:tooltip="&lt;*&gt; Государственная программа автономного округа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0,38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0,35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0,34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0,34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0,34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0,34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0,34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0,34</w:t>
            </w:r>
          </w:p>
        </w:tc>
        <w:tc>
          <w:tcPr>
            <w:tcW w:w="2929" w:type="dxa"/>
          </w:tcPr>
          <w:p>
            <w:pPr>
              <w:pStyle w:val="0"/>
            </w:pPr>
            <w:hyperlink w:history="0" r:id="rId25" w:tooltip="Распоряжение Правительства ХМАО - Югры от 09.10.2023 N 669-рп &quot;О прогнозе социально-экономического развития Ханты-Мансийского автономного округа - Югры на 2024 год и на плановый период 2025 и 2026 годо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автономного округа от 9 октября 2023 года N 669-рп "О прогнозе социально-экономического развития Ханты-Мансийского автономного округа - Югры на 2024 год и на плановый период 2025 и 2026 годов"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бедности в 2 раза по сравнению с показателем 2017 года; увеличение численности занятых в сфере малого и среднего предпринимательства, включая индивидуальных предпринимателей и самозанятых, до 25 млн человек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</w:t>
            </w:r>
            <w:hyperlink w:history="0" w:anchor="P182" w:tooltip="&lt;*&gt; Государственная программа автономного округа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57,1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929" w:type="dxa"/>
          </w:tcPr>
          <w:p>
            <w:pPr>
              <w:pStyle w:val="0"/>
            </w:pPr>
            <w:hyperlink w:history="0" r:id="rId26" w:tooltip="Приказ Минтруда России от 18.10.2022 N 667н (ред. от 23.08.2023) &quot;Об утверждении целевых прогнозных показателей в области содействия занятости населения на 2023 год&quot; (Зарегистрировано в Минюсте России 17.11.2022 N 7098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труда и социальной защиты Российской Федерации от 18 октября 2022 года N 667н "Об утверждении целевых прогнозных показателей в области содействия занятости населения на 2023 год"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бедности в 2 раза по сравнению с показателем 2017 года; увеличение численности занятых в сфере малого и среднего предпринимательства, включая индивидуальных предпринимателей и самозанятых, до 25 млн человек</w:t>
            </w:r>
          </w:p>
        </w:tc>
      </w:tr>
      <w:tr>
        <w:tc>
          <w:tcPr>
            <w:gridSpan w:val="16"/>
            <w:tcW w:w="18154" w:type="dxa"/>
          </w:tcPr>
          <w:p>
            <w:pPr>
              <w:pStyle w:val="0"/>
            </w:pPr>
            <w:r>
              <w:rPr>
                <w:sz w:val="20"/>
              </w:rPr>
              <w:t xml:space="preserve">Цель 2: "Снижение уровней производственного травматизма и профессиональной заболеваемости"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</w:t>
            </w:r>
            <w:hyperlink w:history="0" w:anchor="P182" w:tooltip="&lt;*&gt; Государственная программа автономного округа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545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525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515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Типовая государственная программа субъекта Российской Федерации по улучшению условий и охраны труда (письмо Министерства труда и социальной защиты Российской Федерации от 10 июля 2020 года N 15-3/10/П-6710)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6"/>
            <w:tcW w:w="18154" w:type="dxa"/>
          </w:tcPr>
          <w:p>
            <w:pPr>
              <w:pStyle w:val="0"/>
            </w:pPr>
            <w:r>
              <w:rPr>
                <w:sz w:val="20"/>
              </w:rPr>
              <w:t xml:space="preserve">Цель 3: "Обеспечение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Государственной программы Российской Федерации по переселению соотечественников, прибывших в автономный округ и зарегистрированных Управлением Министерства внутренних дел Российской Федерации по автономному округу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</w:t>
            </w:r>
            <w:hyperlink w:history="0" w:anchor="P182" w:tooltip="&lt;*&gt; Государственная программа автономного округа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Российской Федерации от 23 ноября 2019 года N 2775-р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устойчивого роста численности населения Российской Федерации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Государственная программа автономного округа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Структура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3969"/>
        <w:gridCol w:w="5499"/>
        <w:gridCol w:w="3402"/>
      </w:tblGrid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показателями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13534" w:type="dxa"/>
          </w:tcPr>
          <w:bookmarkStart w:id="195" w:name="P195"/>
          <w:bookmarkEnd w:id="195"/>
          <w:p>
            <w:pPr>
              <w:pStyle w:val="0"/>
              <w:outlineLvl w:val="3"/>
            </w:pPr>
            <w:r>
              <w:rPr>
                <w:sz w:val="20"/>
              </w:rPr>
              <w:t xml:space="preserve">1. Направление (подпрограмма) "Содействие трудоустройству граждан и социальная поддержка безработных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34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gridSpan w:val="3"/>
            <w:tcW w:w="1287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"Моя работа в Югре" (куратор - Белкин Роман Михайлович)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Дептруда и занятости Югры</w:t>
            </w:r>
          </w:p>
        </w:tc>
        <w:tc>
          <w:tcPr>
            <w:gridSpan w:val="2"/>
            <w:tcW w:w="890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2024 - 2026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работы службы занятости населения автономного округа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Реорганизация сети центров занятости населения (далее - ЦЗН), создание учреждения, осуществляющего централизованное управление функционированием центров занятости населения (Центр занятости Югры) и территориальных ЦЗН в соответствии с численностью трудоспособного населения на обслуживаемой территории. Обучение сотрудников ЦЗН функциям карьерных консультантов, внедрение лучших практик победителей регионального этапа Всероссийского конкурса профессионального мастерства в сфере занятости населения. Обеспечение возможности гражданам в получении услуг в отделениях Почты России, многофункциональных центрах предоставления государственных и муниципальных услуг либо иных общественных местах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(на конец года).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gridSpan w:val="3"/>
            <w:tcW w:w="1287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"Содействие трудоустройству граждан, в том числе граждан с инвалидностью, и социальная поддержка безработных граждан"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Дептруда и занятости Югры</w:t>
            </w:r>
          </w:p>
        </w:tc>
        <w:tc>
          <w:tcPr>
            <w:gridSpan w:val="2"/>
            <w:tcW w:w="890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выплат гражданам, признанным в установленном порядке безработными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предоставления социальных выплат гражданам, признанным в установленном порядке безработными, возмещение расходов Фонда пенсионного и социального страхования Российской Федерации, связанных с назначением пенсии, на период до наступления возраста, дающего право на установление страховой пенсии по старости, в том числе назначаемой досрочно, не менее чем 4000 гражданам 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(на конец года).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трудоустройстве граждан, ищущих работу, и безработных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организация временного трудоустройства (общественные работы и временные работы для отдельных категорий граждан) не менее чем 6000 граждан: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занятых трудовой деятельностью и безработных;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испытывающих трудности в поиске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представителей коренных малочисленных народов Севера;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пенсионного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осужденных к исполнению наказания в виде лишения свободы, осужденных к наказаниям в виде исправительных работ, не имеющих основного места работы, осужденных к наказаниям в виде принудительных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освободившихся из учреждений, исполняющих наказания в виде лишения свободы, в том числе отбывших наказание за преступления террористической и экстремистской направленности.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Ежегодная организация трудоустройства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лет, на постоянные рабочие места - не менее 100 граждан.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началу осуществления предпринимательской деятельности отдельных категорий граждан (безработных граждан, пенсионеров, граждан предпенсионного возраста, ищущих работу) - ежегодно не менее 450 граждан.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проведения ежегодно не менее 85 ярмарок вакансий и учебных рабочих мест в муниципальных образованиях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Информирование о положении на рынке труда в автономном округе путем размещения публикаций в средствах массовой информации, социальных сетях, прокатов информационных роликов в количестве не менее 15 тыс. единиц 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(на конец года).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молодежи в получении трудового опыта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временного трудоустройства ежегодно: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16 тыс. граждан в возрасте от 14 до 18 лет в свободное от учебы время;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200 выпускников в возрасте от 18 до 25 лет, имеющих среднее профессиональное или высшее образование.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трудоустройства ежегодно не менее 20 выпускников профессиональных образовательных организаций и образовательных организаций высшего профессионального образования, обратившихся в органы службы занятости населения автономного округа, с помощью реализации "Сертификата на трудоустройство выпускника".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ежегодного охвата 14 000 несовершеннолетних мероприятиями проекта по профессиональной ориентации "Будущий профессионал".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профориентационных мероприятий "Выбор за тобой!" для 14 000 школьников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ежегодного профессионального обучения не менее чем 125 учащихся 10 - 11 классов общеобразовательных организаций, расположенных в автономном округе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(на конец года).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1.3.4.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возможностей трудоустройства незанятых инвалидов на рынке труда автономного округа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ежегодного охвата мероприятиями по профилированию не менее 500 инвалидов, выявлению барьеров, препятствующих их трудоустройству, организации проведения специализированных ярмарок вакансий для инвалидов, в том числе молодого возраста.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предоставления государственной услуги по организации сопровождения при содействии занятости инвалидов ежегодно не менее чем 75 гражданам.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трудоустройству ежегодно не менее чем 55 незанятым инвалидам трудоспособного возраста, в том числе молодого возраста, на оборудованные (оснащенные) рабочие места.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Ежегодное оказание содействия в организации стажировок не менее чем 30 инвалидам трудоспособного возраста, в том числе инвалидам молодого возраста и инвалидам, получившим инвалидность впервые.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освоении трудовых обязанностей ежегодно 10 инвалидам, трудоустроенным на оборудованные (оснащенные) рабочие места или стажировку.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поддержки социально значимых программ, направленных на оказание содействия занятости инвалидов, с привлечением социально ориентированных некоммерческих организаций путем предоставления ежегодно 10 грантов (субсидий)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(на конец года).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1.3.5.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профессиональной компетентности граждан и их адаптации на рынке труда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государственных услуг по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профессиональной ориентации не менее 32 тыс. граждан ежегодно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профессионального обучения и дополнительного профессионального образования не менее чем 1300 безработных граждан, включая обучение в другой местности,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психологической поддержки и социальной адаптации на рынке труда не менее 3800 безработных граждан.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отдельных категорий граждан, ищущих работу (женщины, находящиеся в отпуске по уходу за ребенком до достижения им возраста 3 лет; женщины, не состоящие в трудовых отношениях и имеющие детей дошкольного возраста в возрасте от 0 до 6 лет включительно; граждане предпенсионного возраста; граждане в возрасте 50 лет и старше; незанятые граждане, которым в соответствии с законодательством Российской Федерации досрочно назначена страховая пенсия по старости и (или) пенсия за выслугу лет; незанятые граждане,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 незанятые граждане трудоспособного возраста, длительно (более 1 года) не работающие и не имеющие профессионального образования; незанятые инвалиды трудоспособного возраста; граждане, вынужденно покинувшие территорию Украины; участники специальной военной операции; члены семей участников специальной военной операции; 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работники оборонно-промышленных предприятий), не менее 150 человек ежегодно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(на конец года).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1.3.6.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мобильности трудовых ресурсов в автономном округе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переселении в другую местность для трудоустройства по направлению органов службы занятости.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мер государственной поддержки гражданам при переезде к месту трудоустройства у работодателя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иностранных работников в автономный округ (подготовка предложений по квоте на выдачу иностранным гражданам разрешений на работу, согласование допустимой доли иностранных работников, привлекаемых в автономный округ, выдача заключений о привлечении и об использовании иностранных работников, установление запрета по отдельным видам экономической деятельности на привлечение иностранных граждан для осуществления трудовой деятельности на основании патентов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(на конец года).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1.3.7.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государственных гарантий в области труда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оплаты труда работников государственных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условия для развития социального партнерства и условий для урегулирования коллективных трудовых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альтернативной гражданской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расчета величины прожиточного минимума на основании потребительской корзины для различных социально-демографических групп населения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регистрируемой безработицы (на конец года)</w:t>
            </w:r>
          </w:p>
        </w:tc>
      </w:tr>
      <w:tr>
        <w:tc>
          <w:tcPr>
            <w:gridSpan w:val="4"/>
            <w:tcW w:w="13534" w:type="dxa"/>
          </w:tcPr>
          <w:bookmarkStart w:id="277" w:name="P277"/>
          <w:bookmarkEnd w:id="277"/>
          <w:p>
            <w:pPr>
              <w:pStyle w:val="0"/>
              <w:outlineLvl w:val="3"/>
            </w:pPr>
            <w:r>
              <w:rPr>
                <w:sz w:val="20"/>
              </w:rPr>
              <w:t xml:space="preserve">2. Направление (подпрограмма) "Улучшение условий и охраны труда в автономном округе"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3"/>
            <w:tcW w:w="1287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"Безопасный труд"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Дептруда и занятости Югры</w:t>
            </w:r>
          </w:p>
        </w:tc>
        <w:tc>
          <w:tcPr>
            <w:gridSpan w:val="2"/>
            <w:tcW w:w="890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мер, направленных на сохранение жизни и здоровья работников в процессе трудовой деятельности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внедрения культуры безопасного труда, способствующих сохранению трудоспособности работающего населения на всем протяжении профессиональной карьеры, уменьшающих к 2030 году количество пострадавших в результате несчастных случаев на производстве с утратой трудоспособности на 1 рабочий день и более до 510 человек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</w:tr>
      <w:tr>
        <w:tc>
          <w:tcPr>
            <w:gridSpan w:val="4"/>
            <w:tcW w:w="13534" w:type="dxa"/>
          </w:tcPr>
          <w:bookmarkStart w:id="287" w:name="P287"/>
          <w:bookmarkEnd w:id="287"/>
          <w:p>
            <w:pPr>
              <w:pStyle w:val="0"/>
              <w:outlineLvl w:val="3"/>
            </w:pPr>
            <w:r>
              <w:rPr>
                <w:sz w:val="20"/>
              </w:rPr>
              <w:t xml:space="preserve">3. Направление (подпрограмма) "Оказание содействия добровольному переселению соотечественников, проживающих за рубежом, в автономный округ на 2020 - 2025 годы"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3"/>
            <w:tcW w:w="1287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"Оказание содействия добровольному переселению в автономный округ соотечественников, проживающих за рубежом, на 2024 - 2025 годы"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Дептруда и занятости Югры</w:t>
            </w:r>
          </w:p>
        </w:tc>
        <w:tc>
          <w:tcPr>
            <w:gridSpan w:val="2"/>
            <w:tcW w:w="890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2024 - 2025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правовых, организационных и информационных условий, способствующих добровольному переселению соотечественников из числа квалифицированных специалистов, проживающих за рубежом, в автономный округ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кампании (размещение не менее 4 материалов за год в средствах массовой информации, на интернет-ресурсах для информирования потенциальных участников Государственной программы Российской Федерации по переселению соотечественников об условиях участия в ней);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презентаций образовательного потенциала автономного округа на площадках российских центров науки и культуры в странах Содружества Независимых Государств с участием образовательных организаций высшего образования автономного округа не менее 2 раз в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актуализация не менее 2 раз в год информационно-справочных разделов на информационном портале автоматизированной информационной системы "Соотечественники", в средствах массовой информации и организация мероприятий, направленных на распространение среди молодежи из числа соотечественников, проживающих за рубежом, и иностранных граждан информации об образовательных услугах образовательных организаций высшего образования автономного округа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Государственной программы Российской Федерации по переселению соотечественников, прибывших в автономный округ и зарегистрированных Управлением Министерства внутренних дел Российской Федерации по автономному округу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адаптации и интеграции участников Государственной программы по переселению соотечественников и членов их семей в принимающее сообщество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ежегодно не менее 540 участников Государственной программы Российской Федерации по переселению соотечественников и членов их семей по жилищному обустройству, предоставлению услуг государственных и муниципальных дошкольных образовательных организаций, общего и профессионального образования, социального обслуживания, здравоохранения и услуг службы занятости;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ежегодно информационно-разъяснительной работы среди не менее 30 участников Государственной программы Российской Федерации по переселению соотечественников по механизму приобретения жилья;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бесплатной медицинской помощи до и после получения разрешения на временное проживание или до оформления гражданства Российской Федерации не менее 15 участникам Государственной программы Российской Федерации по переселению соотечественников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Государственной программы Российской Федерации по переселению соотечественников, прибывших в автономный округ и зарегистрированных Управлением Министерства внутренних дел Российской Федерации по автономному округу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обеспечению потребности экономики автономного округа в квалифицированных кадрах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банка вакансий для участников Государственной программы Российской Федерации по переселению соотечественников и размещение на официальных веб-ресурсах органов государственной власти автономного округа не менее 2 раз в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ежегодно не менее чем 95 участникам Государственной программы Российской Федерации по переселению соотечественников и членам их семей государственных услуг в области содействия занятости населения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Государственной программы Российской Федерации по переселению соотечественников, прибывших в автономный округ и зарегистрированных Управлением Министерства внутренних дел Российской Федерации по автономному округу</w:t>
            </w:r>
          </w:p>
        </w:tc>
      </w:tr>
      <w:tr>
        <w:tc>
          <w:tcPr>
            <w:gridSpan w:val="4"/>
            <w:tcW w:w="1353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Структурные элементы, не входящие в направления (подпрограммы)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gridSpan w:val="3"/>
            <w:tcW w:w="1287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деятельности казенного учреждения Ханты-Мансийского автономного округа - Югры</w:t>
            </w:r>
          </w:p>
          <w:p>
            <w:pPr>
              <w:pStyle w:val="0"/>
            </w:pPr>
            <w:r>
              <w:rPr>
                <w:sz w:val="20"/>
              </w:rPr>
              <w:t xml:space="preserve">"Центр занятости населения Ханты-Мансийского автономного округа - Югры"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Дептруда и занятости Югры</w:t>
            </w:r>
          </w:p>
        </w:tc>
        <w:tc>
          <w:tcPr>
            <w:gridSpan w:val="2"/>
            <w:tcW w:w="890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осуществления функций и полномочий казенного учреждения автономного округа - Югры "Центр занятости населения Югры"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казенного учреждения автономного округа "Центр занятости населения Югры"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gridSpan w:val="3"/>
            <w:tcW w:w="1287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деятельности исполнительных органов Ханты-Мансийского автономного округа - Югры"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Дептруда и занятости Югры</w:t>
            </w:r>
          </w:p>
        </w:tc>
        <w:tc>
          <w:tcPr>
            <w:gridSpan w:val="2"/>
            <w:tcW w:w="890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5.1.1.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осуществления функций и полномочий Дептруда и занятости Югры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Дептруда и занятости Югры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Финансовое обеспечение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3572"/>
        <w:gridCol w:w="1144"/>
        <w:gridCol w:w="1144"/>
        <w:gridCol w:w="1144"/>
        <w:gridCol w:w="1144"/>
        <w:gridCol w:w="1144"/>
        <w:gridCol w:w="1144"/>
        <w:gridCol w:w="1144"/>
        <w:gridCol w:w="1264"/>
      </w:tblGrid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элемента/источник финансового обеспечения</w:t>
            </w:r>
          </w:p>
        </w:tc>
        <w:tc>
          <w:tcPr>
            <w:gridSpan w:val="8"/>
            <w:tcW w:w="9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42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(всего), в том числе: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2507966,6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2631599,7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2681409,2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2248898,0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2248898,0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2248898,0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2248898,0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16816567,5</w:t>
            </w:r>
          </w:p>
        </w:tc>
      </w:tr>
      <w:tr>
        <w:tc>
          <w:tcPr>
            <w:gridSpan w:val="2"/>
            <w:tcW w:w="42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 (всего)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1806109,5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1905602,3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1930305,9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1471684,6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1471684,6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1471684,6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1471684,6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11528756,1</w:t>
            </w:r>
          </w:p>
        </w:tc>
      </w:tr>
      <w:tr>
        <w:tc>
          <w:tcPr>
            <w:gridSpan w:val="2"/>
            <w:tcW w:w="42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701857,1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725997,4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751103,3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777213,4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777213,4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777213,4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777213,4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5287811,4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"Моя работа в Югре" (всего), в том числе: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18274,0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30274,0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 (всего)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18274,0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30274,0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"Содействие трудоустройству граждан, в том числе граждан с инвалидностью, и социальная поддержка безработных граждан" (всего), в том числе: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988864,4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1074388,4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1107011,0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653389,7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5783822,6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 (всего), из них: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988864,4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1074388,4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1107011,0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653389,7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653389,7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5783822,6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226915,8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227110,0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223258,3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223258,3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223258,3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223258,3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223258,3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1570317,3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"Безопасный труд" (всего), в том числе: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784352,0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808724,5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833830,4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859940,5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859940,5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859940,5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859940,5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5866668,9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 (всего), из них: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82494,9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82727,1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82727,1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82727,1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82727,1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82727,1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82727,1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578857,5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78717,1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78717,1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78717,1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78717,1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78717,1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78717,1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78717,1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551019,7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701857,1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725997,4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751103,3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777213,4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777213,4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777213,4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777213,4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5287811,4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"Оказание содействия добровольному переселению в автономный округ соотечественников, проживающих за рубежом, на 2024 - 2025 годы" (всего), в том числе: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6633,7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13264,0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 (всего)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6633,7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6630,3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13264,0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деятельности казенного учреждения Ханты-Мансийского автономного округа - Югры "Центр занятости населения Ханты-Мансийского автономного округа - Югры" (всего), в том числе: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525172,4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550649,2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550751,5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550751,5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550751,5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550751,5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550751,5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3829579,1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 (всего)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525172,4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550649,2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550751,5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550751,5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550751,5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550751,5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550751,5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3829579,1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деятельности исполнительных органов Ханты-Мансийского автономного округа - Югры" (всего), в том числе: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184670,1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184207,3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184816,3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184816,3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184816,3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184816,3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184816,3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1292958,9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 (всего)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184670,1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184207,3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184816,3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184816,3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184816,3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184816,3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  <w:t xml:space="preserve">184816,3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1292958,9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2"/>
      <w:headerReference w:type="first" r:id="rId22"/>
      <w:footerReference w:type="default" r:id="rId23"/>
      <w:footerReference w:type="first" r:id="rId2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10.11.2023 N 552-п</w:t>
            <w:br/>
            <w:t>"О государственной программе Ханты-Мансийского автономного...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10.11.2023 N 552-п</w:t>
            <w:br/>
            <w:t>"О государственной программе Ханты-Мансийского автономного...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19" TargetMode = "External"/>
	<Relationship Id="rId8" Type="http://schemas.openxmlformats.org/officeDocument/2006/relationships/hyperlink" Target="https://login.consultant.ru/link/?req=doc&amp;base=RLAW926&amp;n=285766&amp;dst=117" TargetMode = "External"/>
	<Relationship Id="rId9" Type="http://schemas.openxmlformats.org/officeDocument/2006/relationships/hyperlink" Target="https://login.consultant.ru/link/?req=doc&amp;base=RLAW926&amp;n=293846" TargetMode = "External"/>
	<Relationship Id="rId10" Type="http://schemas.openxmlformats.org/officeDocument/2006/relationships/hyperlink" Target="https://login.consultant.ru/link/?req=doc&amp;base=RLAW926&amp;n=251832" TargetMode = "External"/>
	<Relationship Id="rId11" Type="http://schemas.openxmlformats.org/officeDocument/2006/relationships/hyperlink" Target="https://login.consultant.ru/link/?req=doc&amp;base=RLAW926&amp;n=257134" TargetMode = "External"/>
	<Relationship Id="rId12" Type="http://schemas.openxmlformats.org/officeDocument/2006/relationships/hyperlink" Target="https://login.consultant.ru/link/?req=doc&amp;base=RLAW926&amp;n=264146" TargetMode = "External"/>
	<Relationship Id="rId13" Type="http://schemas.openxmlformats.org/officeDocument/2006/relationships/hyperlink" Target="https://login.consultant.ru/link/?req=doc&amp;base=RLAW926&amp;n=266894" TargetMode = "External"/>
	<Relationship Id="rId14" Type="http://schemas.openxmlformats.org/officeDocument/2006/relationships/hyperlink" Target="https://login.consultant.ru/link/?req=doc&amp;base=RLAW926&amp;n=266405" TargetMode = "External"/>
	<Relationship Id="rId15" Type="http://schemas.openxmlformats.org/officeDocument/2006/relationships/hyperlink" Target="https://login.consultant.ru/link/?req=doc&amp;base=RLAW926&amp;n=270471" TargetMode = "External"/>
	<Relationship Id="rId16" Type="http://schemas.openxmlformats.org/officeDocument/2006/relationships/hyperlink" Target="https://login.consultant.ru/link/?req=doc&amp;base=RLAW926&amp;n=272556" TargetMode = "External"/>
	<Relationship Id="rId17" Type="http://schemas.openxmlformats.org/officeDocument/2006/relationships/hyperlink" Target="https://login.consultant.ru/link/?req=doc&amp;base=RLAW926&amp;n=276592" TargetMode = "External"/>
	<Relationship Id="rId18" Type="http://schemas.openxmlformats.org/officeDocument/2006/relationships/hyperlink" Target="https://login.consultant.ru/link/?req=doc&amp;base=RLAW926&amp;n=277705" TargetMode = "External"/>
	<Relationship Id="rId19" Type="http://schemas.openxmlformats.org/officeDocument/2006/relationships/hyperlink" Target="https://login.consultant.ru/link/?req=doc&amp;base=RLAW926&amp;n=279269" TargetMode = "External"/>
	<Relationship Id="rId20" Type="http://schemas.openxmlformats.org/officeDocument/2006/relationships/hyperlink" Target="https://login.consultant.ru/link/?req=doc&amp;base=RLAW926&amp;n=282974" TargetMode = "External"/>
	<Relationship Id="rId21" Type="http://schemas.openxmlformats.org/officeDocument/2006/relationships/hyperlink" Target="https://login.consultant.ru/link/?req=doc&amp;base=RLAW926&amp;n=286844" TargetMode = "External"/>
	<Relationship Id="rId22" Type="http://schemas.openxmlformats.org/officeDocument/2006/relationships/header" Target="header2.xml"/>
	<Relationship Id="rId23" Type="http://schemas.openxmlformats.org/officeDocument/2006/relationships/footer" Target="footer2.xml"/>
	<Relationship Id="rId24" Type="http://schemas.openxmlformats.org/officeDocument/2006/relationships/hyperlink" Target="https://login.consultant.ru/link/?req=doc&amp;base=LAW&amp;n=441135" TargetMode = "External"/>
	<Relationship Id="rId25" Type="http://schemas.openxmlformats.org/officeDocument/2006/relationships/hyperlink" Target="https://login.consultant.ru/link/?req=doc&amp;base=RLAW926&amp;n=288684" TargetMode = "External"/>
	<Relationship Id="rId26" Type="http://schemas.openxmlformats.org/officeDocument/2006/relationships/hyperlink" Target="https://login.consultant.ru/link/?req=doc&amp;base=LAW&amp;n=45778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10.11.2023 N 552-п
"О государственной программе Ханты-Мансийского автономного округа - Югры "Поддержка занятости населения"</dc:title>
  <dcterms:created xsi:type="dcterms:W3CDTF">2024-06-11T16:46:36Z</dcterms:created>
</cp:coreProperties>
</file>